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D9" w:rsidRPr="00C301D9" w:rsidRDefault="00C301D9" w:rsidP="00C301D9">
      <w:pPr>
        <w:shd w:val="clear" w:color="auto" w:fill="FFFFFF"/>
        <w:spacing w:before="375" w:after="3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                                                                                                                                                                                     о преимуществах и порядке получения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C30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государственных и муниципальных услуг в электронной форме.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Преимущества получения государственных и муниципальных услуг в электронном виде через Единый портал www. gosuslugi. ru:</w:t>
      </w:r>
    </w:p>
    <w:p w:rsidR="00C301D9" w:rsidRPr="00786C93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C93">
        <w:rPr>
          <w:rFonts w:ascii="Arial" w:eastAsia="Times New Roman" w:hAnsi="Arial" w:cs="Arial"/>
          <w:sz w:val="24"/>
          <w:szCs w:val="24"/>
          <w:lang w:eastAsia="ru-RU"/>
        </w:rPr>
        <w:t>Единый портал доступен любому пользователю информационно-телекоммуникационной сети Интернет и организован таким образом, чтобы обеспечить простой и эффективный поиск информации по государственным и муниципальным услугам.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-Упрощение получения государственной и муниципальной услуги и другой полезной информации;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</w:t>
      </w:r>
      <w:proofErr w:type="gramEnd"/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сокращение количества предоставляемых документов;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ликвидация </w:t>
      </w:r>
      <w:hyperlink r:id="rId4" w:tooltip="Бюрократия" w:history="1">
        <w:r w:rsidRPr="00786C93">
          <w:rPr>
            <w:rFonts w:ascii="Arial" w:eastAsia="Times New Roman" w:hAnsi="Arial" w:cs="Arial"/>
            <w:sz w:val="24"/>
            <w:szCs w:val="24"/>
            <w:lang w:eastAsia="ru-RU"/>
          </w:rPr>
          <w:t>бюрократических</w:t>
        </w:r>
      </w:hyperlink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проволочек вследствие внедрения электронного документооборота;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коррупционных рисков, возникающих при личном общении с чиновниками;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административных барьеров, и повышаение доступности получения государственных и муниципальных услуг;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информирование гражданина на каждом этапе работы по его заявлению.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получения государственных и муниципальных услуг в электронной форме: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А)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30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Регистрация на портале.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получать услуги федерального, регионального и муниципального уровня необходимо зарегистрироваться на портале http://www. gosuslugi. ru/</w:t>
      </w:r>
      <w:r w:rsidRPr="00C301D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. 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Единый портал государственных услуг – это место предоставления информации о федеральных, региональных, муниципальных услугах и функциях, </w:t>
      </w:r>
      <w:r w:rsidRPr="00786C93">
        <w:rPr>
          <w:rFonts w:ascii="Arial" w:eastAsia="Times New Roman" w:hAnsi="Arial" w:cs="Arial"/>
          <w:sz w:val="24"/>
          <w:szCs w:val="24"/>
          <w:lang w:eastAsia="ru-RU"/>
        </w:rPr>
        <w:t>ведомствах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оказания услуг в электронном виде. С помощью портала можно: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Получить услугу в электронном виде;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Получить информацию о государственных и муниципальных учреждениях.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Информация, необходимая для успешной регистрации на портале государственных услуг (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всего необходимого для регистрации на портале государственных услуг):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гражданина РФ.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Страховое свидетельство государственного пенсионного страхования (СНИЛС).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Свидетельство о постановке на учет в налоговом органе физического лица по месту жительства на территории Российской Федерации (ИНН).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Мобильный телефон, номер которого ранее не использовался при регистрации на портале государственных услуг.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Адрес электронной почты, который ранее не использовался при регистрации на портале госуслуг.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информирования о ходе движения заказанной Вами услуги.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Процесс регистрации на портале государственных услуг состоит из следующих пунктов: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Необходимо ввести все данные из пункта выше на сайте портала гослуслуг (обязательные поля: Фамилия, Имя, Дата рождения, Пол, СНИЛС, адрес электронной почты).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Подтвердить адрес электронной почты и номер мобильного телефона.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Дождаться заказного письма с кодом подтверждения и забрать его на почте или воспользоваться другим вариантом и получить код </w:t>
      </w:r>
      <w:r w:rsidRPr="00786C93">
        <w:rPr>
          <w:rFonts w:ascii="Arial" w:eastAsia="Times New Roman" w:hAnsi="Arial" w:cs="Arial"/>
          <w:sz w:val="24"/>
          <w:szCs w:val="24"/>
          <w:lang w:eastAsia="ru-RU"/>
        </w:rPr>
        <w:t>активации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центре продаж и обслуживания клиентов компании</w:t>
      </w:r>
      <w:proofErr w:type="gramStart"/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Используя код активации окончательно активировать свой аккаунт на портале госуслуг.</w:t>
      </w:r>
    </w:p>
    <w:p w:rsid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регистрации может занять некоторое время, если Вы выбрали вариант с доставкой кода активации через заказное письмо. Так что, если Вам в срочном порядке необходимо заказать услуги на едином портале государственных услуг, лучше лично посетить офис компании для оперативного получения кода и завершения регистрации.</w:t>
      </w:r>
      <w:r w:rsidRPr="00C301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Использование электронной подписи на портале государственных услуг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Гражданин РФ может зарегистрировать Личный кабинет и в дальнейшем проходить </w:t>
      </w:r>
      <w:r w:rsidRPr="00786C93">
        <w:rPr>
          <w:rFonts w:ascii="Arial" w:eastAsia="Times New Roman" w:hAnsi="Arial" w:cs="Arial"/>
          <w:sz w:val="24"/>
          <w:szCs w:val="24"/>
          <w:lang w:eastAsia="ru-RU"/>
        </w:rPr>
        <w:t>авторизацию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через ввод личного логина (СНИЛС) и пароля, так и с использованием сре</w:t>
      </w:r>
      <w:proofErr w:type="gramStart"/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Минкомсвязи России удостоверяющим центром. Сертификат обязательно должен содержать фамилию, имя, отчество и страховой номер индивидуального </w:t>
      </w:r>
      <w:r w:rsidRPr="00786C93">
        <w:rPr>
          <w:rFonts w:ascii="Arial" w:eastAsia="Times New Roman" w:hAnsi="Arial" w:cs="Arial"/>
          <w:sz w:val="24"/>
          <w:szCs w:val="24"/>
          <w:lang w:eastAsia="ru-RU"/>
        </w:rPr>
        <w:t>лицевого счета (СНИЛС) владельца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Пользователь имеет возможность подписать электронной подписью заявление, отправляемое в орган исполнительной власти. При реализации этого механизма 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используются отечественные стандарты ЭП и применяются сертифицированные в системе сертификации ФСБ России средства </w:t>
      </w:r>
      <w:hyperlink r:id="rId5" w:tooltip="Криптография" w:history="1">
        <w:r w:rsidRPr="00786C93">
          <w:rPr>
            <w:rFonts w:ascii="Arial" w:eastAsia="Times New Roman" w:hAnsi="Arial" w:cs="Arial"/>
            <w:sz w:val="24"/>
            <w:szCs w:val="24"/>
            <w:lang w:eastAsia="ru-RU"/>
          </w:rPr>
          <w:t>криптографической</w:t>
        </w:r>
      </w:hyperlink>
      <w:r w:rsidRPr="00786C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tooltip="Защита информации" w:history="1">
        <w:r w:rsidRPr="00786C93">
          <w:rPr>
            <w:rFonts w:ascii="Arial" w:eastAsia="Times New Roman" w:hAnsi="Arial" w:cs="Arial"/>
            <w:sz w:val="24"/>
            <w:szCs w:val="24"/>
            <w:lang w:eastAsia="ru-RU"/>
          </w:rPr>
          <w:t>защиты информации</w:t>
        </w:r>
      </w:hyperlink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такие как «Aladdin e-Token ГОСТ» и «КриптоПро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Б) Выбор услуги из списка электронных услуг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</w:t>
      </w:r>
      <w:r w:rsidRPr="00786C93">
        <w:rPr>
          <w:rFonts w:ascii="Arial" w:eastAsia="Times New Roman" w:hAnsi="Arial" w:cs="Arial"/>
          <w:sz w:val="24"/>
          <w:szCs w:val="24"/>
          <w:lang w:eastAsia="ru-RU"/>
        </w:rPr>
        <w:t>органами местного самоуправления</w:t>
      </w: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удобства поиска можно воспользоваться следующими классификаторами: тематическим, по категориям пользователей, по ведомствам. Кроме того организован поиск услуг, организаций, документов и форм по ключевым словам.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В) Заполнение и направление в адрес структурного подразделения заявление в электронном виде на получение выбранной услуги.</w:t>
      </w:r>
    </w:p>
    <w:p w:rsidR="00C301D9" w:rsidRPr="00C301D9" w:rsidRDefault="00C301D9" w:rsidP="00C301D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Заполнить и отправить заявление на получение услуги или запрос в орган исполнительной власти (орган местного самоуправления)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C301D9" w:rsidRPr="00C301D9" w:rsidRDefault="00C301D9" w:rsidP="00C301D9">
      <w:pPr>
        <w:shd w:val="clear" w:color="auto" w:fill="FFFFFF"/>
        <w:spacing w:before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546F6C" w:rsidRPr="00C301D9" w:rsidRDefault="00546F6C">
      <w:pPr>
        <w:rPr>
          <w:sz w:val="24"/>
          <w:szCs w:val="24"/>
        </w:rPr>
      </w:pPr>
    </w:p>
    <w:sectPr w:rsidR="00546F6C" w:rsidRPr="00C301D9" w:rsidSect="00C301D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1D9"/>
    <w:rsid w:val="00546F6C"/>
    <w:rsid w:val="00786C93"/>
    <w:rsid w:val="00823B4E"/>
    <w:rsid w:val="00AD006C"/>
    <w:rsid w:val="00C3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50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43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86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685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681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5318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11234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13811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97383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shita_informatcii/" TargetMode="External"/><Relationship Id="rId5" Type="http://schemas.openxmlformats.org/officeDocument/2006/relationships/hyperlink" Target="http://pandia.ru/text/category/kriptografiya/" TargetMode="External"/><Relationship Id="rId4" Type="http://schemas.openxmlformats.org/officeDocument/2006/relationships/hyperlink" Target="http://pandia.ru/text/category/byurokr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1330</Words>
  <Characters>7585</Characters>
  <Application>Microsoft Office Word</Application>
  <DocSecurity>0</DocSecurity>
  <Lines>63</Lines>
  <Paragraphs>17</Paragraphs>
  <ScaleCrop>false</ScaleCrop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Пользователь Windows</cp:lastModifiedBy>
  <cp:revision>3</cp:revision>
  <dcterms:created xsi:type="dcterms:W3CDTF">2017-09-03T16:26:00Z</dcterms:created>
  <dcterms:modified xsi:type="dcterms:W3CDTF">2017-09-03T16:27:00Z</dcterms:modified>
</cp:coreProperties>
</file>